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08F225D5" w14:textId="2234610B" w:rsidR="00C46E79" w:rsidRDefault="00B33612" w:rsidP="00C944D7">
            <w:pPr>
              <w:pStyle w:val="a6"/>
              <w:bidi w:val="0"/>
              <w:spacing w:before="120" w:after="240" w:afterAutospacing="0"/>
              <w:ind w:left="604" w:right="607" w:firstLine="0"/>
              <w:rPr>
                <w:rFonts w:ascii="Palatino Linotype" w:hAnsi="Palatino Linotype"/>
                <w:spacing w:val="-6"/>
                <w:sz w:val="28"/>
                <w:szCs w:val="28"/>
                <w:lang w:bidi="fa-IR"/>
              </w:rPr>
            </w:pPr>
            <w:r>
              <w:rPr>
                <w:rFonts w:ascii="Garamond" w:hAnsi="Garamond"/>
                <w:noProof/>
                <w:spacing w:val="-6"/>
              </w:rPr>
              <w:drawing>
                <wp:anchor distT="0" distB="0" distL="114300" distR="114300" simplePos="0" relativeHeight="251731968" behindDoc="0" locked="0" layoutInCell="1" allowOverlap="1" wp14:anchorId="4E7BB724" wp14:editId="1EA60DFF">
                  <wp:simplePos x="0" y="0"/>
                  <wp:positionH relativeFrom="column">
                    <wp:posOffset>-76200</wp:posOffset>
                  </wp:positionH>
                  <wp:positionV relativeFrom="paragraph">
                    <wp:posOffset>55245</wp:posOffset>
                  </wp:positionV>
                  <wp:extent cx="1234440" cy="93218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A Relogo Color.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234440" cy="932180"/>
                          </a:xfrm>
                          <a:prstGeom prst="rect">
                            <a:avLst/>
                          </a:prstGeom>
                        </pic:spPr>
                      </pic:pic>
                    </a:graphicData>
                  </a:graphic>
                  <wp14:sizeRelH relativeFrom="margin">
                    <wp14:pctWidth>0</wp14:pctWidth>
                  </wp14:sizeRelH>
                  <wp14:sizeRelV relativeFrom="margin">
                    <wp14:pctHeight>0</wp14:pctHeight>
                  </wp14:sizeRelV>
                </wp:anchor>
              </w:drawing>
            </w:r>
            <w:r w:rsidR="00967748" w:rsidRPr="00D14B7A">
              <w:rPr>
                <w:rFonts w:ascii="Garamond" w:hAnsi="Garamond"/>
                <w:noProof/>
                <w:spacing w:val="-6"/>
                <w:lang w:bidi="fa-IR"/>
              </w:rPr>
              <w:t xml:space="preserve"> </w:t>
            </w:r>
            <w:r w:rsidR="00C46E79">
              <w:rPr>
                <w:rFonts w:ascii="Palatino Linotype" w:hAnsi="Palatino Linotype"/>
                <w:spacing w:val="-6"/>
              </w:rPr>
              <w:t xml:space="preserve"> </w:t>
            </w:r>
            <w:r w:rsidR="00BC595C" w:rsidRPr="00BC595C">
              <w:rPr>
                <w:rFonts w:ascii="Palatino Linotype" w:hAnsi="Palatino Linotype"/>
                <w:spacing w:val="-6"/>
                <w:sz w:val="28"/>
                <w:szCs w:val="30"/>
                <w:lang w:bidi="fa-IR"/>
              </w:rPr>
              <w:t xml:space="preserve">Intelligence Modeling in Electromechanical Systems </w:t>
            </w:r>
          </w:p>
          <w:p w14:paraId="78CF7EEE" w14:textId="2D8ABD99" w:rsidR="00C46E79" w:rsidRPr="00C46E79" w:rsidRDefault="00BC595C" w:rsidP="00C46E79">
            <w:pPr>
              <w:tabs>
                <w:tab w:val="right" w:pos="8397"/>
              </w:tabs>
              <w:bidi w:val="0"/>
              <w:spacing w:before="0" w:beforeAutospacing="0" w:after="240" w:afterAutospacing="0" w:line="240" w:lineRule="auto"/>
              <w:ind w:left="-103" w:right="0"/>
              <w:jc w:val="center"/>
              <w:rPr>
                <w:rFonts w:ascii="Palatino Linotype" w:eastAsia="Calibri" w:hAnsi="Palatino Linotype" w:cs="Adobe Devanagari"/>
                <w:b/>
                <w:bCs/>
                <w:color w:val="auto"/>
                <w:sz w:val="24"/>
                <w:szCs w:val="24"/>
                <w:lang w:bidi="fa-IR"/>
              </w:rPr>
            </w:pPr>
            <w:r>
              <w:rPr>
                <w:rFonts w:ascii="Palatino Linotype" w:eastAsia="Calibri" w:hAnsi="Palatino Linotype" w:cs="Adobe Devanagari"/>
                <w:b/>
                <w:bCs/>
                <w:color w:val="auto"/>
                <w:sz w:val="24"/>
                <w:szCs w:val="24"/>
                <w:lang w:bidi="fa-IR"/>
              </w:rPr>
              <w:t>www.imes.reapress.com</w:t>
            </w:r>
          </w:p>
          <w:p w14:paraId="689D471C" w14:textId="1AF6258D" w:rsidR="003922BA" w:rsidRPr="00D14B7A" w:rsidRDefault="00546368" w:rsidP="006E0733">
            <w:pPr>
              <w:pStyle w:val="Footer"/>
              <w:bidi w:val="0"/>
              <w:spacing w:before="240" w:beforeAutospacing="0" w:afterAutospacing="0" w:line="240" w:lineRule="auto"/>
              <w:ind w:left="-103"/>
              <w:jc w:val="center"/>
              <w:rPr>
                <w:rFonts w:ascii="Garamond" w:hAnsi="Garamond"/>
                <w:b/>
                <w:bCs/>
                <w:color w:val="auto"/>
                <w:sz w:val="18"/>
                <w:szCs w:val="18"/>
                <w:lang w:bidi="fa-IR"/>
              </w:rPr>
            </w:pPr>
            <w:r w:rsidRPr="00D14B7A">
              <w:rPr>
                <w:rFonts w:ascii="Garamond" w:hAnsi="Garamond"/>
                <w:b/>
                <w:bCs/>
                <w:color w:val="auto"/>
                <w:sz w:val="20"/>
                <w:szCs w:val="20"/>
                <w:lang w:bidi="fa-IR"/>
              </w:rPr>
              <w:t xml:space="preserve">             </w:t>
            </w:r>
            <w:r w:rsidR="00C46E79">
              <w:rPr>
                <w:rFonts w:ascii="Palatino Linotype" w:hAnsi="Palatino Linotype"/>
                <w:b/>
                <w:bCs/>
                <w:color w:val="auto"/>
                <w:sz w:val="16"/>
                <w:szCs w:val="16"/>
                <w:lang w:bidi="fa-IR"/>
              </w:rPr>
              <w:t xml:space="preserve"> </w:t>
            </w:r>
            <w:bookmarkStart w:id="0" w:name="_Hlk164859949"/>
            <w:proofErr w:type="spellStart"/>
            <w:r w:rsidR="00BC595C" w:rsidRPr="00BC595C">
              <w:rPr>
                <w:rFonts w:ascii="Palatino Linotype" w:hAnsi="Palatino Linotype"/>
                <w:b/>
                <w:bCs/>
                <w:color w:val="auto"/>
                <w:sz w:val="16"/>
                <w:szCs w:val="16"/>
                <w:lang w:bidi="fa-IR"/>
              </w:rPr>
              <w:t>Intell</w:t>
            </w:r>
            <w:proofErr w:type="spellEnd"/>
            <w:r w:rsidR="00BC595C" w:rsidRPr="00BC595C">
              <w:rPr>
                <w:rFonts w:ascii="Palatino Linotype" w:hAnsi="Palatino Linotype"/>
                <w:b/>
                <w:bCs/>
                <w:color w:val="auto"/>
                <w:sz w:val="16"/>
                <w:szCs w:val="16"/>
                <w:lang w:bidi="fa-IR"/>
              </w:rPr>
              <w:t xml:space="preserve">. Model. </w:t>
            </w:r>
            <w:proofErr w:type="spellStart"/>
            <w:r w:rsidR="00BC595C" w:rsidRPr="00BC595C">
              <w:rPr>
                <w:rFonts w:ascii="Palatino Linotype" w:hAnsi="Palatino Linotype"/>
                <w:b/>
                <w:bCs/>
                <w:color w:val="auto"/>
                <w:sz w:val="16"/>
                <w:szCs w:val="16"/>
                <w:lang w:bidi="fa-IR"/>
              </w:rPr>
              <w:t>Electromech</w:t>
            </w:r>
            <w:proofErr w:type="spellEnd"/>
            <w:r w:rsidR="00BC595C" w:rsidRPr="00BC595C">
              <w:rPr>
                <w:rFonts w:ascii="Palatino Linotype" w:hAnsi="Palatino Linotype"/>
                <w:b/>
                <w:bCs/>
                <w:color w:val="auto"/>
                <w:sz w:val="16"/>
                <w:szCs w:val="16"/>
                <w:lang w:bidi="fa-IR"/>
              </w:rPr>
              <w:t>. Syst</w:t>
            </w:r>
            <w:bookmarkEnd w:id="0"/>
            <w:r w:rsidR="00690F51">
              <w:rPr>
                <w:rFonts w:ascii="Garamond" w:hAnsi="Garamond" w:hint="cs"/>
                <w:b/>
                <w:bCs/>
                <w:color w:val="auto"/>
                <w:szCs w:val="22"/>
                <w:rtl/>
                <w:lang w:bidi="fa-IR"/>
              </w:rPr>
              <w:t>.</w:t>
            </w:r>
            <w:r w:rsidR="00813E9C" w:rsidRPr="00D14B7A">
              <w:rPr>
                <w:rFonts w:ascii="Garamond" w:hAnsi="Garamond"/>
                <w:b/>
                <w:bCs/>
                <w:color w:val="auto"/>
                <w:szCs w:val="22"/>
                <w:lang w:bidi="fa-IR"/>
              </w:rPr>
              <w:t xml:space="preserve"> </w:t>
            </w:r>
            <w:r w:rsidR="00813E9C" w:rsidRPr="00D14B7A">
              <w:rPr>
                <w:rFonts w:ascii="Garamond" w:hAnsi="Garamond"/>
                <w:b/>
                <w:bCs/>
                <w:color w:val="auto"/>
                <w:sz w:val="20"/>
                <w:szCs w:val="20"/>
                <w:lang w:bidi="fa-IR"/>
              </w:rPr>
              <w:t xml:space="preserve">Vol. </w:t>
            </w:r>
            <w:r w:rsidR="00D40EB3" w:rsidRPr="00D14B7A">
              <w:rPr>
                <w:rFonts w:ascii="Garamond" w:hAnsi="Garamond"/>
                <w:b/>
                <w:bCs/>
                <w:color w:val="auto"/>
                <w:sz w:val="20"/>
                <w:szCs w:val="20"/>
                <w:lang w:bidi="fa-IR"/>
              </w:rPr>
              <w:t>x</w:t>
            </w:r>
            <w:r w:rsidR="00813E9C" w:rsidRPr="00D14B7A">
              <w:rPr>
                <w:rFonts w:ascii="Garamond" w:hAnsi="Garamond"/>
                <w:b/>
                <w:bCs/>
                <w:color w:val="auto"/>
                <w:sz w:val="20"/>
                <w:szCs w:val="20"/>
                <w:lang w:bidi="fa-IR"/>
              </w:rPr>
              <w:t xml:space="preserve">, No. </w:t>
            </w:r>
            <w:r w:rsidR="00D40EB3" w:rsidRPr="00D14B7A">
              <w:rPr>
                <w:rFonts w:ascii="Garamond" w:hAnsi="Garamond"/>
                <w:b/>
                <w:bCs/>
                <w:color w:val="auto"/>
                <w:sz w:val="20"/>
                <w:szCs w:val="20"/>
                <w:lang w:bidi="fa-IR"/>
              </w:rPr>
              <w:t>x</w:t>
            </w:r>
            <w:r w:rsidR="00813E9C" w:rsidRPr="00D14B7A">
              <w:rPr>
                <w:rFonts w:ascii="Garamond" w:hAnsi="Garamond"/>
                <w:b/>
                <w:bCs/>
                <w:color w:val="auto"/>
                <w:sz w:val="20"/>
                <w:szCs w:val="20"/>
                <w:lang w:bidi="fa-IR"/>
              </w:rPr>
              <w:t xml:space="preserve"> (</w:t>
            </w:r>
            <w:r w:rsidR="00D40EB3" w:rsidRPr="00D14B7A">
              <w:rPr>
                <w:rFonts w:ascii="Garamond" w:hAnsi="Garamond"/>
                <w:b/>
                <w:bCs/>
                <w:color w:val="auto"/>
                <w:sz w:val="20"/>
                <w:szCs w:val="20"/>
                <w:lang w:bidi="fa-IR"/>
              </w:rPr>
              <w:t>xx</w:t>
            </w:r>
            <w:r w:rsidR="00813E9C" w:rsidRPr="00D14B7A">
              <w:rPr>
                <w:rFonts w:ascii="Garamond" w:hAnsi="Garamond"/>
                <w:b/>
                <w:bCs/>
                <w:color w:val="auto"/>
                <w:sz w:val="20"/>
                <w:szCs w:val="20"/>
                <w:lang w:bidi="fa-IR"/>
              </w:rPr>
              <w:t xml:space="preserve">) </w:t>
            </w:r>
            <w:r w:rsidR="00D40EB3" w:rsidRPr="00D14B7A">
              <w:rPr>
                <w:rFonts w:ascii="Garamond" w:hAnsi="Garamond"/>
                <w:b/>
                <w:bCs/>
                <w:color w:val="auto"/>
                <w:sz w:val="20"/>
                <w:szCs w:val="20"/>
                <w:lang w:bidi="fa-IR"/>
              </w:rPr>
              <w:t>x</w:t>
            </w:r>
            <w:r w:rsidR="00813E9C" w:rsidRPr="00D14B7A">
              <w:rPr>
                <w:rFonts w:ascii="Garamond" w:hAnsi="Garamond"/>
                <w:b/>
                <w:bCs/>
                <w:color w:val="auto"/>
                <w:sz w:val="20"/>
                <w:szCs w:val="20"/>
                <w:lang w:bidi="fa-IR"/>
              </w:rPr>
              <w:t>–</w:t>
            </w:r>
            <w:r w:rsidR="00D40EB3" w:rsidRPr="00D14B7A">
              <w:rPr>
                <w:rFonts w:ascii="Garamond" w:hAnsi="Garamond"/>
                <w:b/>
                <w:bCs/>
                <w:color w:val="auto"/>
                <w:sz w:val="20"/>
                <w:szCs w:val="20"/>
                <w:lang w:bidi="fa-IR"/>
              </w:rPr>
              <w:t>x</w:t>
            </w:r>
            <w:r w:rsidR="00813E9C" w:rsidRPr="00D14B7A">
              <w:rPr>
                <w:rFonts w:ascii="Garamond" w:hAnsi="Garamond"/>
                <w:b/>
                <w:bCs/>
                <w:color w:val="auto"/>
                <w:sz w:val="20"/>
                <w:szCs w:val="20"/>
                <w:lang w:bidi="fa-IR"/>
              </w:rPr>
              <w:t>.</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392092F1" w:rsidR="00B948C8" w:rsidRPr="0080155B" w:rsidRDefault="00DD7116" w:rsidP="0080155B">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D14B7A">
              <w:rPr>
                <w:rFonts w:ascii="Garamond" w:hAnsi="Garamond"/>
                <w:color w:val="000000" w:themeColor="text1"/>
                <w:sz w:val="38"/>
                <w:szCs w:val="38"/>
              </w:rPr>
              <w:t>Paper Title</w:t>
            </w:r>
          </w:p>
        </w:tc>
      </w:tr>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p w14:paraId="31853E79" w14:textId="29AB0EF1"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r w:rsidRPr="00D14B7A">
              <w:rPr>
                <w:rFonts w:ascii="Garamond" w:eastAsiaTheme="minorHAnsi" w:hAnsi="Garamond" w:cs="XB Kayhan"/>
                <w:color w:val="000000"/>
                <w:sz w:val="20"/>
                <w:szCs w:val="20"/>
                <w:lang w:bidi="ar-SA"/>
              </w:rPr>
              <w:t xml:space="preserve">FirstName, LastName </w:t>
            </w:r>
            <w:r w:rsidRPr="00D14B7A">
              <w:rPr>
                <w:rFonts w:ascii="Garamond" w:eastAsiaTheme="minorHAnsi" w:hAnsi="Garamond" w:cs="XB Kayhan"/>
                <w:color w:val="000000"/>
                <w:sz w:val="20"/>
                <w:szCs w:val="20"/>
                <w:vertAlign w:val="superscript"/>
                <w:lang w:bidi="ar-SA"/>
              </w:rPr>
              <w:t>1</w:t>
            </w:r>
            <w:r w:rsidRPr="00D14B7A">
              <w:rPr>
                <w:rFonts w:ascii="Garamond" w:eastAsiaTheme="minorHAnsi" w:hAnsi="Garamond" w:cs="XB Kayhan"/>
                <w:color w:val="000000"/>
                <w:sz w:val="20"/>
                <w:szCs w:val="20"/>
                <w:lang w:bidi="ar-SA"/>
              </w:rPr>
              <w:t>,*</w:t>
            </w:r>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Pr="00D14B7A">
              <w:rPr>
                <w:rFonts w:ascii="Garamond" w:eastAsiaTheme="minorHAnsi" w:hAnsi="Garamond" w:cs="XB Kayhan"/>
                <w:b w:val="0"/>
                <w:bCs w:val="0"/>
                <w:color w:val="000000"/>
                <w:sz w:val="20"/>
                <w:szCs w:val="20"/>
                <w:lang w:bidi="ar-SA"/>
              </w:rPr>
              <w:t xml:space="preserve"> </w:t>
            </w:r>
            <w:r w:rsidRPr="00D14B7A">
              <w:rPr>
                <w:rFonts w:ascii="Garamond" w:eastAsiaTheme="minorHAnsi" w:hAnsi="Garamond" w:cs="XB Kayhan"/>
                <w:color w:val="000000"/>
                <w:sz w:val="20"/>
                <w:szCs w:val="20"/>
                <w:lang w:bidi="ar-SA"/>
              </w:rPr>
              <w:t>FirstName, LastName</w:t>
            </w:r>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bookmarkStart w:id="1" w:name="_GoBack"/>
            <w:bookmarkEnd w:id="1"/>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B33612">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B33612">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B33612">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Accepted:</w:t>
                  </w:r>
                  <w:r w:rsidR="009E64BB">
                    <w:rPr>
                      <w:rFonts w:ascii="Palatino Linotype" w:hAnsi="Palatino Linotype"/>
                      <w:i/>
                      <w:iCs/>
                      <w:sz w:val="17"/>
                      <w:szCs w:val="17"/>
                    </w:rPr>
                    <w:t>---</w:t>
                  </w:r>
                </w:p>
              </w:tc>
              <w:tc>
                <w:tcPr>
                  <w:tcW w:w="5960" w:type="dxa"/>
                </w:tcPr>
                <w:p w14:paraId="5CC61862" w14:textId="360F3F5E" w:rsidR="0080155B" w:rsidRPr="0080155B" w:rsidRDefault="0080155B" w:rsidP="00B33612">
                  <w:pPr>
                    <w:pStyle w:val="Affiliation"/>
                    <w:framePr w:wrap="around" w:y="230"/>
                    <w:spacing w:before="60"/>
                    <w:ind w:left="40"/>
                    <w:jc w:val="both"/>
                    <w:rPr>
                      <w:rFonts w:ascii="Palatino Linotype" w:hAnsi="Palatino Linotype"/>
                    </w:rPr>
                  </w:pPr>
                  <w:r w:rsidRPr="00813E9C">
                    <w:rPr>
                      <w:rFonts w:ascii="Palatino Linotype" w:hAnsi="Palatino Linotype"/>
                    </w:rPr>
                    <w:t xml:space="preserve">LastName, </w:t>
                  </w:r>
                  <w:r>
                    <w:rPr>
                      <w:rFonts w:ascii="Palatino Linotype" w:hAnsi="Palatino Linotype"/>
                    </w:rPr>
                    <w:t>Initial First Name</w:t>
                  </w:r>
                  <w:r w:rsidRPr="00813E9C">
                    <w:rPr>
                      <w:rFonts w:ascii="Palatino Linotype" w:hAnsi="Palatino Linotype"/>
                    </w:rPr>
                    <w:t xml:space="preserve">., </w:t>
                  </w:r>
                  <w:proofErr w:type="gramStart"/>
                  <w:r w:rsidRPr="00813E9C">
                    <w:rPr>
                      <w:rFonts w:ascii="Palatino Linotype" w:hAnsi="Palatino Linotype"/>
                    </w:rPr>
                    <w:t>&amp;  LastName</w:t>
                  </w:r>
                  <w:proofErr w:type="gramEnd"/>
                  <w:r w:rsidRPr="00813E9C">
                    <w:rPr>
                      <w:rFonts w:ascii="Palatino Linotype" w:hAnsi="Palatino Linotype"/>
                    </w:rPr>
                    <w:t xml:space="preserve">, </w:t>
                  </w:r>
                  <w:r>
                    <w:rPr>
                      <w:rFonts w:ascii="Palatino Linotype" w:hAnsi="Palatino Linotype"/>
                    </w:rPr>
                    <w:t xml:space="preserve"> Initial First Name . (Date). Paper Title</w:t>
                  </w:r>
                  <w:r w:rsidR="00FB3D6F">
                    <w:rPr>
                      <w:rFonts w:ascii="Palatino Linotype" w:hAnsi="Palatino Linotype" w:hint="cs"/>
                      <w:rtl/>
                    </w:rPr>
                    <w:t>.</w:t>
                  </w:r>
                  <w:r w:rsidR="00C46E79">
                    <w:rPr>
                      <w:rFonts w:ascii="Palatino Linotype" w:hAnsi="Palatino Linotype"/>
                      <w:spacing w:val="-6"/>
                      <w:lang w:bidi="fa-IR"/>
                    </w:rPr>
                    <w:t xml:space="preserve"> </w:t>
                  </w:r>
                  <w:r w:rsidR="00BC595C">
                    <w:t xml:space="preserve"> </w:t>
                  </w:r>
                  <w:r w:rsidR="00BC595C" w:rsidRPr="00BC595C">
                    <w:rPr>
                      <w:rFonts w:ascii="Palatino Linotype" w:hAnsi="Palatino Linotype"/>
                      <w:spacing w:val="-6"/>
                      <w:lang w:bidi="fa-IR"/>
                    </w:rPr>
                    <w:t>Intelligence Modeling in Electromechanical Systems</w:t>
                  </w:r>
                  <w:r w:rsidRPr="00DC7BAD">
                    <w:rPr>
                      <w:rFonts w:ascii="Palatino Linotype" w:hAnsi="Palatino Linotype"/>
                      <w:i/>
                      <w:iCs/>
                    </w:rPr>
                    <w:t>,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tbl>
    <w:p w14:paraId="028097DC" w14:textId="32F64CE6"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7CCFD666" w:rsidR="00274E05" w:rsidRPr="00D14B7A" w:rsidRDefault="00551C29" w:rsidP="00274E05">
            <w:pPr>
              <w:pStyle w:val="Abstractt"/>
              <w:framePr w:hSpace="0" w:wrap="auto" w:vAnchor="margin" w:hAnchor="text" w:xAlign="left" w:yAlign="inline"/>
              <w:spacing w:after="100"/>
              <w:ind w:right="0"/>
              <w:suppressOverlap w:val="0"/>
              <w:rPr>
                <w:iCs w:val="0"/>
              </w:rPr>
            </w:pPr>
            <w:r w:rsidRPr="00D14B7A">
              <w:rPr>
                <w:rStyle w:val="AbstracttChar"/>
              </w:rPr>
              <w:t xml:space="preserve">Every paper should include an abstract with a maximum of 300 words. The abstract should include the problem explanation, methods used for </w:t>
            </w:r>
            <w:r w:rsidR="00D05C30" w:rsidRPr="00D14B7A">
              <w:rPr>
                <w:rStyle w:val="AbstracttChar"/>
              </w:rPr>
              <w:t xml:space="preserve">the </w:t>
            </w:r>
            <w:r w:rsidRPr="00D14B7A">
              <w:rPr>
                <w:rStyle w:val="AbstracttChar"/>
              </w:rPr>
              <w:t>solution, and the significant results. It should finish with a sentence to describe the implications for the field. The abstract must not include references, figures or tables.</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057ED913" w:rsidR="00551C29" w:rsidRPr="00D14B7A" w:rsidRDefault="00274E05" w:rsidP="00627F4A">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Pr="00C1356F">
              <w:rPr>
                <w:rFonts w:ascii="Garamond" w:hAnsi="Garamond"/>
              </w:rPr>
              <w:t>(Sentence case and followed by colon) followed by 3 to 7 words that describe the focus and contribution of the paper.</w:t>
            </w:r>
          </w:p>
        </w:tc>
      </w:tr>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4A5A5D">
      <w:pPr>
        <w:pStyle w:val="HEADING11"/>
      </w:pPr>
    </w:p>
    <w:p w14:paraId="67D81C03" w14:textId="7A343899" w:rsidR="00426704" w:rsidRPr="00D14B7A" w:rsidRDefault="00426704" w:rsidP="004A5A5D">
      <w:pPr>
        <w:pStyle w:val="HEADING11"/>
      </w:pPr>
    </w:p>
    <w:p w14:paraId="406C3F44" w14:textId="13C3ECF2" w:rsidR="00426704" w:rsidRPr="00D14B7A" w:rsidRDefault="00426704" w:rsidP="004A5A5D">
      <w:pPr>
        <w:pStyle w:val="HEADING11"/>
      </w:pPr>
    </w:p>
    <w:p w14:paraId="5E65C033" w14:textId="008B5EE4" w:rsidR="00426704" w:rsidRPr="00D14B7A" w:rsidRDefault="00426704" w:rsidP="004A5A5D">
      <w:pPr>
        <w:pStyle w:val="HEADING11"/>
      </w:pPr>
    </w:p>
    <w:p w14:paraId="7DC3F5B0" w14:textId="77777777" w:rsidR="00426704" w:rsidRPr="00D14B7A" w:rsidRDefault="00426704" w:rsidP="00426704">
      <w:pPr>
        <w:pStyle w:val="BODY0"/>
      </w:pPr>
    </w:p>
    <w:p w14:paraId="6C7CC449" w14:textId="355D7339" w:rsidR="00ED7BAC" w:rsidRPr="00D14B7A" w:rsidRDefault="0076763F" w:rsidP="0074311A">
      <w:pPr>
        <w:pStyle w:val="HEADING11"/>
        <w:tabs>
          <w:tab w:val="left" w:pos="720"/>
          <w:tab w:val="left" w:pos="1440"/>
          <w:tab w:val="left" w:pos="2160"/>
          <w:tab w:val="left" w:pos="2880"/>
          <w:tab w:val="left" w:pos="8221"/>
        </w:tabs>
        <w:ind w:firstLine="284"/>
        <w:rPr>
          <w:color w:val="000000" w:themeColor="text1"/>
        </w:rPr>
      </w:pPr>
      <w:r w:rsidRPr="00D14B7A">
        <w:rPr>
          <w:color w:val="000000" w:themeColor="text1"/>
        </w:rPr>
        <w:t>1</w:t>
      </w:r>
      <w:r w:rsidR="00ED7BAC" w:rsidRPr="00D14B7A">
        <w:rPr>
          <w:color w:val="000000" w:themeColor="text1"/>
        </w:rPr>
        <w:t>|Introduction</w:t>
      </w:r>
      <w:r w:rsidR="00ED7BAC" w:rsidRPr="00D14B7A">
        <w:rPr>
          <w:color w:val="000000" w:themeColor="text1"/>
        </w:rPr>
        <w:tab/>
      </w:r>
      <w:r w:rsidR="00D14B7A" w:rsidRPr="00D14B7A">
        <w:rPr>
          <w:color w:val="000000" w:themeColor="text1"/>
        </w:rPr>
        <w:tab/>
      </w:r>
      <w:r w:rsidR="0074311A" w:rsidRPr="00D14B7A">
        <w:rPr>
          <w:color w:val="000000" w:themeColor="text1"/>
        </w:rPr>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1</w:t>
      </w:r>
      <w:r w:rsidR="00D800DD" w:rsidRPr="00D14B7A">
        <w:t>0</w:t>
      </w:r>
      <w:r w:rsidRPr="00D14B7A">
        <w:t xml:space="preserve"> point font and their affiliations must be written in </w:t>
      </w:r>
      <w:r w:rsidR="00D800DD" w:rsidRPr="00D14B7A">
        <w:t xml:space="preserve">Garamond </w:t>
      </w:r>
      <w:r w:rsidRPr="00D14B7A">
        <w:t>9 point font.</w:t>
      </w:r>
    </w:p>
    <w:p w14:paraId="4F22CDB8" w14:textId="68F120A9" w:rsidR="001103A1" w:rsidRPr="00D14B7A" w:rsidRDefault="001103A1" w:rsidP="00426704">
      <w:pPr>
        <w:pStyle w:val="BODY0"/>
      </w:pPr>
      <w:r w:rsidRPr="00D14B7A">
        <w:t xml:space="preserve">All major headings are flushed with the left margin in </w:t>
      </w:r>
      <w:r w:rsidR="00D800DD" w:rsidRPr="00D14B7A">
        <w:t>Garamond</w:t>
      </w:r>
      <w:r w:rsidRPr="00D14B7A">
        <w:t>. Headings 1 are capitalized, bold and in 1</w:t>
      </w:r>
      <w:r w:rsidR="008D351F" w:rsidRPr="00D14B7A">
        <w:rPr>
          <w:rtl/>
        </w:rPr>
        <w:t>6</w:t>
      </w:r>
      <w:r w:rsidRPr="00D14B7A">
        <w:t xml:space="preserve"> fonts. Do not put a period after the text of the heading. Headings 2 are capitalized, bold</w:t>
      </w:r>
      <w:r w:rsidR="00D800DD" w:rsidRPr="00D14B7A">
        <w:t xml:space="preserve"> </w:t>
      </w:r>
      <w:r w:rsidRPr="00D14B7A">
        <w:t>and in 1</w:t>
      </w:r>
      <w:r w:rsidR="008D351F" w:rsidRPr="00D14B7A">
        <w:rPr>
          <w:rtl/>
        </w:rPr>
        <w:t>4</w:t>
      </w:r>
      <w:r w:rsidRPr="00D14B7A">
        <w:t xml:space="preserve"> fonts</w:t>
      </w:r>
      <w:r w:rsidR="005F30EC" w:rsidRPr="00D14B7A">
        <w:t>.</w:t>
      </w:r>
      <w:r w:rsidRPr="00D14B7A">
        <w:t xml:space="preserve"> Headings 3 are sentence case</w:t>
      </w:r>
      <w:r w:rsidR="005F30EC" w:rsidRPr="00D14B7A">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F10389">
      <w:pPr>
        <w:pStyle w:val="HEADING20"/>
        <w:ind w:firstLine="283"/>
        <w:rPr>
          <w:color w:val="000000" w:themeColor="text1"/>
        </w:rPr>
      </w:pPr>
      <w:r w:rsidRPr="00D14B7A">
        <w:rPr>
          <w:color w:val="000000" w:themeColor="text1"/>
        </w:rPr>
        <w:lastRenderedPageBreak/>
        <w:t>1.1</w:t>
      </w:r>
      <w:r w:rsidR="00476274" w:rsidRPr="00D14B7A">
        <w:rPr>
          <w:color w:val="000000" w:themeColor="text1"/>
        </w:rPr>
        <w:t>|</w:t>
      </w:r>
      <w:r w:rsidRPr="00D14B7A">
        <w:rPr>
          <w:color w:val="000000" w:themeColor="text1"/>
        </w:rPr>
        <w:t>Figures and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rPr>
          <w:color w:val="000000" w:themeColor="text1"/>
        </w:rPr>
      </w:pPr>
      <w:r w:rsidRPr="00D14B7A">
        <w:rPr>
          <w:color w:val="000000" w:themeColor="text1"/>
        </w:rPr>
        <w:t>Fig. 1. Network with eight vertices.</w:t>
      </w:r>
    </w:p>
    <w:p w14:paraId="154D6322" w14:textId="77777777" w:rsidR="00D05C30" w:rsidRPr="00D14B7A" w:rsidRDefault="00D05C30" w:rsidP="00426704">
      <w:pPr>
        <w:pStyle w:val="BODY0"/>
        <w:spacing w:after="0"/>
      </w:pPr>
    </w:p>
    <w:p w14:paraId="1D7E8C9E" w14:textId="4C6DC74D" w:rsidR="0056787F" w:rsidRPr="00D14B7A" w:rsidRDefault="00C23B0A" w:rsidP="00D90A29">
      <w:pPr>
        <w:pStyle w:val="Figure"/>
        <w:rPr>
          <w:color w:val="000000" w:themeColor="text1"/>
        </w:rPr>
      </w:pPr>
      <w:r w:rsidRPr="00D14B7A">
        <w:rPr>
          <w:color w:val="000000" w:themeColor="text1"/>
        </w:rPr>
        <w:t>Table 1. List of Arc lengths</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Eq. (1). </w:t>
      </w:r>
    </w:p>
    <w:tbl>
      <w:tblPr>
        <w:tblStyle w:val="TableGrid"/>
        <w:tblpPr w:leftFromText="181" w:rightFromText="181" w:bottomFromText="102" w:vertAnchor="text" w:horzAnchor="margin" w:tblpXSpec="center" w:tblpY="40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622"/>
      </w:tblGrid>
      <w:tr w:rsidR="004A5A5D" w:rsidRPr="00D14B7A" w14:paraId="2B0CD05B" w14:textId="77777777" w:rsidTr="004A5A5D">
        <w:trPr>
          <w:trHeight w:val="1126"/>
        </w:trPr>
        <w:tc>
          <w:tcPr>
            <w:tcW w:w="8789" w:type="dxa"/>
            <w:vAlign w:val="center"/>
          </w:tcPr>
          <w:p w14:paraId="43202592" w14:textId="77777777" w:rsidR="004A5A5D" w:rsidRPr="00D14B7A" w:rsidRDefault="00AB10AC" w:rsidP="004A5A5D">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78C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66pt;mso-width-percent:0;mso-height-percent:0;mso-width-percent:0;mso-height-percent:0" o:ole="">
                  <v:imagedata r:id="rId11" o:title=""/>
                </v:shape>
                <o:OLEObject Type="Embed" ProgID="Equation.DSMT4" ShapeID="_x0000_i1025" DrawAspect="Content" ObjectID="_1816858054" r:id="rId12"/>
              </w:object>
            </w:r>
          </w:p>
        </w:tc>
        <w:tc>
          <w:tcPr>
            <w:tcW w:w="622" w:type="dxa"/>
            <w:vAlign w:val="center"/>
          </w:tcPr>
          <w:p w14:paraId="434E39D1" w14:textId="77777777" w:rsidR="004A5A5D" w:rsidRPr="00D14B7A" w:rsidRDefault="004A5A5D" w:rsidP="004A5A5D">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77777777" w:rsidR="00CC23FD" w:rsidRPr="00D14B7A" w:rsidRDefault="00FC1F0A" w:rsidP="003D43AD">
      <w:pPr>
        <w:pStyle w:val="BODY0"/>
      </w:pPr>
      <w:r w:rsidRPr="00D14B7A">
        <w:t xml:space="preserve">Where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pt;height:13.5pt;mso-width-percent:0;mso-height-percent:0;mso-width-percent:0;mso-height-percent:0" o:ole="">
            <v:imagedata r:id="rId13" o:title=""/>
          </v:shape>
          <o:OLEObject Type="Embed" ProgID="Equation.DSMT4" ShapeID="_x0000_i1026" DrawAspect="Content" ObjectID="_1816858055" r:id="rId14"/>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proofErr w:type="spellStart"/>
      <w:r w:rsidR="00C40F9F" w:rsidRPr="00D14B7A">
        <w:rPr>
          <w:u w:val="single"/>
        </w:rPr>
        <w:t>MathType</w:t>
      </w:r>
      <w:proofErr w:type="spellEnd"/>
      <w:r w:rsidR="00C40F9F" w:rsidRPr="00D14B7A">
        <w:rPr>
          <w:u w:val="single"/>
        </w:rPr>
        <w:t xml:space="preserve"> </w:t>
      </w:r>
      <w:r w:rsidRPr="00D14B7A">
        <w:t xml:space="preserve">in specified style as shown in Eq. (1). </w:t>
      </w:r>
    </w:p>
    <w:p w14:paraId="2EE60FAE" w14:textId="42D58EA1" w:rsidR="001812AF" w:rsidRPr="00D14B7A" w:rsidRDefault="00A148E5" w:rsidP="00A148E5">
      <w:pPr>
        <w:pStyle w:val="BODY0"/>
        <w:ind w:right="824"/>
      </w:pPr>
      <w:r w:rsidRPr="00D14B7A">
        <w:lastRenderedPageBreak/>
        <w:t>Note: For all equations produced by the Equation Tool, it is required to use the Cambria Math font with a font size of 10 pt. for in-text and 11 pt. for numbered equations.</w:t>
      </w:r>
    </w:p>
    <w:p w14:paraId="3781A4F5" w14:textId="7D79E3BD" w:rsidR="00FC1F0A" w:rsidRPr="00D14B7A" w:rsidRDefault="00FC1F0A" w:rsidP="00F10389">
      <w:pPr>
        <w:pStyle w:val="HEADING11"/>
        <w:ind w:firstLine="142"/>
        <w:rPr>
          <w:color w:val="000000" w:themeColor="text1"/>
        </w:rPr>
      </w:pPr>
      <w:r w:rsidRPr="00D14B7A">
        <w:rPr>
          <w:color w:val="000000" w:themeColor="text1"/>
        </w:rPr>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F10389">
      <w:pPr>
        <w:pStyle w:val="HEADING11"/>
        <w:ind w:firstLine="142"/>
        <w:rPr>
          <w:color w:val="000000" w:themeColor="text1"/>
        </w:rPr>
      </w:pPr>
      <w:r w:rsidRPr="00D14B7A">
        <w:rPr>
          <w:color w:val="000000" w:themeColor="text1"/>
        </w:rPr>
        <w:t xml:space="preserve">Author </w:t>
      </w:r>
      <w:proofErr w:type="spellStart"/>
      <w:r w:rsidRPr="00D14B7A">
        <w:rPr>
          <w:color w:val="000000" w:themeColor="text1"/>
        </w:rPr>
        <w:t>Contributaion</w:t>
      </w:r>
      <w:proofErr w:type="spellEnd"/>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5"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F10389">
      <w:pPr>
        <w:pStyle w:val="HEADING11"/>
        <w:ind w:firstLine="142"/>
        <w:rPr>
          <w:color w:val="000000" w:themeColor="text1"/>
        </w:rPr>
      </w:pPr>
      <w:r w:rsidRPr="00D14B7A">
        <w:rPr>
          <w:color w:val="000000" w:themeColor="text1"/>
        </w:rPr>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F10389">
      <w:pPr>
        <w:pStyle w:val="HEADING11"/>
        <w:ind w:firstLine="142"/>
        <w:rPr>
          <w:color w:val="000000" w:themeColor="text1"/>
        </w:rPr>
      </w:pPr>
      <w:r w:rsidRPr="00D14B7A">
        <w:rPr>
          <w:color w:val="000000" w:themeColor="text1"/>
        </w:rPr>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6" w:history="1">
        <w:r w:rsidR="00363F15" w:rsidRPr="00D14B7A">
          <w:rPr>
            <w:rStyle w:val="Hyperlink"/>
            <w:b/>
            <w:bCs/>
          </w:rPr>
          <w:t>DAS</w:t>
        </w:r>
      </w:hyperlink>
      <w:r w:rsidR="00363F15" w:rsidRPr="00D14B7A">
        <w:t xml:space="preserve"> file.</w:t>
      </w:r>
    </w:p>
    <w:p w14:paraId="351CEAFD" w14:textId="39489AF1" w:rsidR="007B10DE" w:rsidRPr="00D14B7A" w:rsidRDefault="00AB7093" w:rsidP="00F10389">
      <w:pPr>
        <w:pStyle w:val="HEADING11"/>
        <w:ind w:firstLine="142"/>
        <w:rPr>
          <w:color w:val="000000" w:themeColor="text1"/>
        </w:rPr>
      </w:pPr>
      <w:r w:rsidRPr="00D14B7A">
        <w:rPr>
          <w:color w:val="000000" w:themeColor="text1"/>
        </w:rPr>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7" w:history="1">
        <w:r w:rsidR="00674526" w:rsidRPr="00D14B7A">
          <w:rPr>
            <w:rStyle w:val="Hyperlink"/>
            <w:bCs/>
          </w:rPr>
          <w:t>CID</w:t>
        </w:r>
      </w:hyperlink>
      <w:r w:rsidR="00363F15" w:rsidRPr="00D14B7A">
        <w:t xml:space="preserve"> file.</w:t>
      </w:r>
    </w:p>
    <w:p w14:paraId="7D8EEE18" w14:textId="57614EE9" w:rsidR="00FC1F0A" w:rsidRPr="006173C9" w:rsidRDefault="00FC1F0A" w:rsidP="00F10389">
      <w:pPr>
        <w:pStyle w:val="HEADING11"/>
        <w:ind w:firstLine="142"/>
        <w:rPr>
          <w:color w:val="000000" w:themeColor="text1"/>
          <w:szCs w:val="32"/>
        </w:rPr>
      </w:pPr>
      <w:r w:rsidRPr="006173C9">
        <w:rPr>
          <w:color w:val="000000" w:themeColor="text1"/>
          <w:szCs w:val="32"/>
        </w:rPr>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3617C05F" w14:textId="0A8BDE15" w:rsidR="004A5A5D" w:rsidRPr="00D14B7A" w:rsidRDefault="004A5A5D" w:rsidP="00E95D32">
      <w:pPr>
        <w:pStyle w:val="BODY0"/>
      </w:pP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4F7A4D40" w14:textId="0C1953CE" w:rsidR="00E95D32" w:rsidRPr="00D14B7A" w:rsidRDefault="00A148E5" w:rsidP="00A148E5">
      <w:pPr>
        <w:pStyle w:val="BODY0"/>
        <w:tabs>
          <w:tab w:val="left" w:pos="8505"/>
        </w:tabs>
        <w:ind w:left="993" w:right="966"/>
        <w:jc w:val="left"/>
      </w:pPr>
      <w:r w:rsidRPr="00D14B7A">
        <w:t xml:space="preserve">Install the Mendeley, then register and log in. Open the </w:t>
      </w:r>
      <w:proofErr w:type="spellStart"/>
      <w:r w:rsidRPr="00D14B7A">
        <w:t>mendeley</w:t>
      </w:r>
      <w:proofErr w:type="spellEnd"/>
      <w:r w:rsidRPr="00D14B7A">
        <w:t xml:space="preserve"> program and select the View-&gt;Citation Style-&gt;Get More Style. Paste the link” </w:t>
      </w:r>
      <w:hyperlink r:id="rId18" w:history="1">
        <w:r w:rsidRPr="00D14B7A">
          <w:rPr>
            <w:rStyle w:val="Hyperlink"/>
          </w:rPr>
          <w:t>https://csl.mendeley.com/styles/699351941/REA</w:t>
        </w:r>
      </w:hyperlink>
      <w:r w:rsidRPr="00D14B7A">
        <w:t>” in “Download style” box and select download., then click done.</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w:t>
      </w:r>
      <w:proofErr w:type="spellStart"/>
      <w:proofErr w:type="gramStart"/>
      <w:r w:rsidRPr="00D14B7A">
        <w:rPr>
          <w:b/>
          <w:bCs/>
          <w:sz w:val="20"/>
          <w:szCs w:val="21"/>
        </w:rPr>
        <w:t>a</w:t>
      </w:r>
      <w:proofErr w:type="spellEnd"/>
      <w:proofErr w:type="gramEnd"/>
      <w:r w:rsidRPr="00D14B7A">
        <w:rPr>
          <w:b/>
          <w:bCs/>
          <w:sz w:val="20"/>
          <w:szCs w:val="21"/>
        </w:rPr>
        <w:t xml:space="preserve">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proofErr w:type="spellStart"/>
      <w:r w:rsidR="00FC1F0A" w:rsidRPr="00D14B7A">
        <w:rPr>
          <w:rFonts w:ascii="Garamond" w:hAnsi="Garamond"/>
        </w:rPr>
        <w:t>Youssf</w:t>
      </w:r>
      <w:proofErr w:type="spellEnd"/>
      <w:r w:rsidR="00FC1F0A" w:rsidRPr="00D14B7A">
        <w:rPr>
          <w:rFonts w:ascii="Garamond" w:hAnsi="Garamond"/>
        </w:rPr>
        <w:t xml:space="preserve">, O., </w:t>
      </w:r>
      <w:proofErr w:type="spellStart"/>
      <w:r w:rsidR="00FC1F0A" w:rsidRPr="00D14B7A">
        <w:rPr>
          <w:rFonts w:ascii="Garamond" w:hAnsi="Garamond"/>
        </w:rPr>
        <w:t>ElGawady</w:t>
      </w:r>
      <w:proofErr w:type="spellEnd"/>
      <w:r w:rsidR="00FC1F0A" w:rsidRPr="00D14B7A">
        <w:rPr>
          <w:rFonts w:ascii="Garamond" w:hAnsi="Garamond"/>
        </w:rPr>
        <w:t xml:space="preserve">, M. A., &amp; Mills, J. E. (2016). Static cyclic behavior of FRP-confined crumb rubber concrete columns. </w:t>
      </w:r>
      <w:r w:rsidR="00FC1F0A" w:rsidRPr="00D14B7A">
        <w:rPr>
          <w:rFonts w:ascii="Garamond" w:hAnsi="Garamond"/>
          <w:i/>
          <w:iCs/>
        </w:rPr>
        <w:t>Engineering structures, 113</w:t>
      </w:r>
      <w:r w:rsidR="00FC1F0A" w:rsidRPr="00D14B7A">
        <w:rPr>
          <w:rFonts w:ascii="Garamond" w:hAnsi="Garamond"/>
        </w:rPr>
        <w:t xml:space="preserve">, 371-387. </w:t>
      </w:r>
      <w:hyperlink r:id="rId19" w:tgtFrame="_blank" w:tooltip="Persistent link using digital object identifier" w:history="1">
        <w:r w:rsidR="00FC1F0A" w:rsidRPr="00D14B7A">
          <w:rPr>
            <w:rFonts w:ascii="Garamond" w:hAnsi="Garamond"/>
          </w:rPr>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C91519">
      <w:pPr>
        <w:pStyle w:val="Reference"/>
        <w:ind w:left="1134" w:hanging="283"/>
        <w:rPr>
          <w:rFonts w:ascii="Garamond" w:hAnsi="Garamond"/>
        </w:rPr>
      </w:pPr>
      <w:r w:rsidRPr="00D14B7A">
        <w:rPr>
          <w:rFonts w:ascii="Garamond" w:hAnsi="Garamond"/>
        </w:rPr>
        <w:t xml:space="preserve"> </w:t>
      </w:r>
      <w:r w:rsidR="00FC1F0A" w:rsidRPr="00D14B7A">
        <w:rPr>
          <w:rFonts w:ascii="Garamond" w:hAnsi="Garamond"/>
        </w:rPr>
        <w:t xml:space="preserve">Liao, H., &amp; Xu, Z. (2017). </w:t>
      </w:r>
      <w:r w:rsidR="00FC1F0A" w:rsidRPr="00D14B7A">
        <w:rPr>
          <w:rFonts w:ascii="Garamond" w:hAnsi="Garamond"/>
          <w:i/>
          <w:iCs/>
        </w:rPr>
        <w:t>Hesitant fuzzy decision making methodologies and applications</w:t>
      </w:r>
      <w:r w:rsidR="00FC1F0A" w:rsidRPr="00D14B7A">
        <w:rPr>
          <w:rFonts w:ascii="Garamond" w:hAnsi="Garamond"/>
        </w:rPr>
        <w:t>. Springer Singapore.</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D14B7A" w:rsidRDefault="001A3C23" w:rsidP="00C91519">
      <w:pPr>
        <w:pStyle w:val="Reference"/>
        <w:ind w:left="1134" w:hanging="283"/>
        <w:rPr>
          <w:rFonts w:ascii="Garamond" w:hAnsi="Garamond"/>
        </w:rPr>
      </w:pPr>
      <w:r w:rsidRPr="00D14B7A">
        <w:rPr>
          <w:rFonts w:ascii="Garamond" w:hAnsi="Garamond"/>
        </w:rPr>
        <w:t xml:space="preserve"> </w:t>
      </w:r>
      <w:r w:rsidR="00166118" w:rsidRPr="00D14B7A">
        <w:rPr>
          <w:rFonts w:ascii="Garamond" w:hAnsi="Garamond"/>
        </w:rPr>
        <w:t xml:space="preserve">McKenzie, R.B. (2018). From </w:t>
      </w:r>
      <w:proofErr w:type="spellStart"/>
      <w:r w:rsidR="00166118" w:rsidRPr="00D14B7A">
        <w:rPr>
          <w:rFonts w:ascii="Garamond" w:hAnsi="Garamond"/>
        </w:rPr>
        <w:t>robbins</w:t>
      </w:r>
      <w:proofErr w:type="spellEnd"/>
      <w:r w:rsidR="00166118" w:rsidRPr="00D14B7A">
        <w:rPr>
          <w:rFonts w:ascii="Garamond" w:hAnsi="Garamond"/>
        </w:rPr>
        <w:t xml:space="preserve"> to </w:t>
      </w:r>
      <w:proofErr w:type="spellStart"/>
      <w:r w:rsidR="00166118" w:rsidRPr="00D14B7A">
        <w:rPr>
          <w:rFonts w:ascii="Garamond" w:hAnsi="Garamond"/>
        </w:rPr>
        <w:t>friedman</w:t>
      </w:r>
      <w:proofErr w:type="spellEnd"/>
      <w:r w:rsidR="00166118" w:rsidRPr="00D14B7A">
        <w:rPr>
          <w:rFonts w:ascii="Garamond" w:hAnsi="Garamond"/>
        </w:rPr>
        <w:t xml:space="preserve"> and beyond. In </w:t>
      </w:r>
      <w:r w:rsidR="00AC73FE" w:rsidRPr="00D14B7A">
        <w:rPr>
          <w:rFonts w:ascii="Garamond" w:hAnsi="Garamond"/>
          <w:i/>
          <w:iCs/>
        </w:rPr>
        <w:t xml:space="preserve">A brain-focused foundation for economic science </w:t>
      </w:r>
      <w:r w:rsidR="00AC73FE" w:rsidRPr="00D14B7A">
        <w:rPr>
          <w:rFonts w:ascii="Garamond" w:hAnsi="Garamond"/>
        </w:rPr>
        <w:t>(pp. 63-92),</w:t>
      </w:r>
      <w:r w:rsidR="00166118" w:rsidRPr="00D14B7A">
        <w:rPr>
          <w:rFonts w:ascii="Garamond" w:hAnsi="Garamond"/>
        </w:rPr>
        <w:t xml:space="preserve"> Palgrave Macmillan</w:t>
      </w:r>
      <w:r w:rsidR="00AC73FE" w:rsidRPr="00D14B7A">
        <w:rPr>
          <w:rFonts w:ascii="Garamond" w:hAnsi="Garamond"/>
        </w:rPr>
        <w:t>,</w:t>
      </w:r>
      <w:r w:rsidR="00166118" w:rsidRPr="00D14B7A">
        <w:rPr>
          <w:rFonts w:ascii="Garamond" w:hAnsi="Garamond"/>
        </w:rPr>
        <w:t xml:space="preserve"> Cham. </w:t>
      </w:r>
      <w:r w:rsidR="00AC73FE" w:rsidRPr="00D14B7A">
        <w:rPr>
          <w:rFonts w:ascii="Garamond" w:hAnsi="Garamond"/>
        </w:rPr>
        <w:t xml:space="preserve">Springer. </w:t>
      </w:r>
      <w:hyperlink r:id="rId20" w:history="1">
        <w:r w:rsidR="00BE7790" w:rsidRPr="00D14B7A">
          <w:rPr>
            <w:rStyle w:val="Hyperlink"/>
            <w:rFonts w:ascii="Garamond" w:hAnsi="Garamond"/>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D14B7A" w:rsidRDefault="00C95EFA" w:rsidP="00C91519">
      <w:pPr>
        <w:pStyle w:val="Reference"/>
        <w:ind w:left="1134" w:hanging="283"/>
        <w:rPr>
          <w:rFonts w:ascii="Garamond" w:hAnsi="Garamond"/>
        </w:rPr>
      </w:pPr>
      <w:r w:rsidRPr="00D14B7A">
        <w:rPr>
          <w:rFonts w:ascii="Garamond" w:hAnsi="Garamond"/>
        </w:rPr>
        <w:t xml:space="preserve"> </w:t>
      </w:r>
      <w:r w:rsidR="00FC1F0A" w:rsidRPr="00D14B7A">
        <w:rPr>
          <w:rFonts w:ascii="Garamond" w:hAnsi="Garamond"/>
        </w:rPr>
        <w:t xml:space="preserve">Hakani Raj, A. (2010, May). Development of an intelligent sensor based inspection robot for closed environment. </w:t>
      </w:r>
      <w:r w:rsidR="00FC1F0A" w:rsidRPr="00D14B7A">
        <w:rPr>
          <w:rFonts w:ascii="Garamond" w:hAnsi="Garamond"/>
          <w:i/>
          <w:iCs/>
        </w:rPr>
        <w:t>Proceedings of the 2015 5th Nirma University international conference on engineering (</w:t>
      </w:r>
      <w:proofErr w:type="spellStart"/>
      <w:r w:rsidR="00FC1F0A" w:rsidRPr="00D14B7A">
        <w:rPr>
          <w:rFonts w:ascii="Garamond" w:hAnsi="Garamond"/>
          <w:i/>
          <w:iCs/>
        </w:rPr>
        <w:t>NUiCONE</w:t>
      </w:r>
      <w:proofErr w:type="spellEnd"/>
      <w:r w:rsidR="00FC1F0A" w:rsidRPr="00D14B7A">
        <w:rPr>
          <w:rFonts w:ascii="Garamond" w:hAnsi="Garamond"/>
          <w:i/>
          <w:iCs/>
        </w:rPr>
        <w:t>)</w:t>
      </w:r>
      <w:r w:rsidR="00FC1F0A" w:rsidRPr="00D14B7A">
        <w:rPr>
          <w:rFonts w:ascii="Garamond" w:hAnsi="Garamond"/>
        </w:rPr>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D14B7A" w:rsidRDefault="00C95EFA" w:rsidP="00C91519">
      <w:pPr>
        <w:pStyle w:val="Reference"/>
        <w:ind w:left="1134" w:hanging="283"/>
        <w:rPr>
          <w:rFonts w:ascii="Garamond" w:hAnsi="Garamond"/>
        </w:rPr>
      </w:pPr>
      <w:r w:rsidRPr="00D14B7A">
        <w:rPr>
          <w:rFonts w:ascii="Garamond" w:hAnsi="Garamond"/>
        </w:rPr>
        <w:t xml:space="preserve"> </w:t>
      </w:r>
      <w:proofErr w:type="spellStart"/>
      <w:r w:rsidRPr="00D14B7A">
        <w:rPr>
          <w:rFonts w:ascii="Garamond" w:hAnsi="Garamond"/>
        </w:rPr>
        <w:t>Murphyn</w:t>
      </w:r>
      <w:proofErr w:type="spellEnd"/>
      <w:r w:rsidRPr="00D14B7A">
        <w:rPr>
          <w:rFonts w:ascii="Garamond" w:hAnsi="Garamond"/>
        </w:rPr>
        <w:t xml:space="preserve">, L. </w:t>
      </w:r>
      <w:r w:rsidR="00FC1F0A" w:rsidRPr="00D14B7A">
        <w:rPr>
          <w:rFonts w:ascii="Garamond" w:hAnsi="Garamond"/>
        </w:rPr>
        <w:t>(</w:t>
      </w:r>
      <w:r w:rsidRPr="00D14B7A">
        <w:rPr>
          <w:rFonts w:ascii="Garamond" w:hAnsi="Garamond"/>
        </w:rPr>
        <w:t>n.d.</w:t>
      </w:r>
      <w:r w:rsidR="00FC1F0A" w:rsidRPr="00D14B7A">
        <w:rPr>
          <w:rFonts w:ascii="Garamond" w:hAnsi="Garamond"/>
        </w:rPr>
        <w:t xml:space="preserve">). </w:t>
      </w:r>
      <w:proofErr w:type="spellStart"/>
      <w:r w:rsidRPr="00D14B7A">
        <w:rPr>
          <w:rFonts w:ascii="Garamond" w:hAnsi="Garamond"/>
          <w:i/>
          <w:iCs/>
        </w:rPr>
        <w:t>Utrition</w:t>
      </w:r>
      <w:proofErr w:type="spellEnd"/>
      <w:r w:rsidRPr="00D14B7A">
        <w:rPr>
          <w:rFonts w:ascii="Garamond" w:hAnsi="Garamond"/>
          <w:i/>
          <w:iCs/>
        </w:rPr>
        <w:t xml:space="preserve"> &amp; exercise - timing is everything</w:t>
      </w:r>
      <w:r w:rsidRPr="00D14B7A">
        <w:rPr>
          <w:rFonts w:ascii="Garamond" w:hAnsi="Garamond"/>
        </w:rPr>
        <w:t xml:space="preserve">. NASM. </w:t>
      </w:r>
      <w:hyperlink r:id="rId21" w:history="1">
        <w:r w:rsidR="001A3C23" w:rsidRPr="00D14B7A">
          <w:rPr>
            <w:rStyle w:val="Hyperlink"/>
            <w:rFonts w:ascii="Garamond" w:hAnsi="Garamond"/>
            <w:color w:val="000000" w:themeColor="text1"/>
            <w:u w:val="none"/>
          </w:rPr>
          <w:t>https://blog.nasm.org/workout-and-nutrition-timing</w:t>
        </w:r>
      </w:hyperlink>
    </w:p>
    <w:p w14:paraId="4BD92BAD" w14:textId="21FFC356" w:rsidR="001A3C23" w:rsidRPr="00D14B7A" w:rsidRDefault="001A3C23" w:rsidP="00F10389">
      <w:pPr>
        <w:pStyle w:val="HEADING11"/>
        <w:ind w:firstLine="284"/>
        <w:rPr>
          <w:color w:val="000000" w:themeColor="text1"/>
        </w:rPr>
      </w:pPr>
      <w:r w:rsidRPr="00D14B7A">
        <w:rPr>
          <w:color w:val="000000" w:themeColor="text1"/>
        </w:rPr>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145CAC78" w14:textId="77777777" w:rsidR="006173C9" w:rsidRDefault="006173C9" w:rsidP="00395642">
      <w:pPr>
        <w:pStyle w:val="BODY0"/>
      </w:pPr>
    </w:p>
    <w:p w14:paraId="412189DD" w14:textId="77777777" w:rsidR="006173C9" w:rsidRDefault="006173C9" w:rsidP="00395642">
      <w:pPr>
        <w:pStyle w:val="BODY0"/>
      </w:pPr>
    </w:p>
    <w:p w14:paraId="69AC8AB1"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5EE199A5"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4462F69E" w14:textId="77777777" w:rsidR="006173C9" w:rsidRDefault="006173C9" w:rsidP="00395642">
      <w:pPr>
        <w:pStyle w:val="BODY0"/>
      </w:pPr>
    </w:p>
    <w:p w14:paraId="67D02E51" w14:textId="77777777" w:rsidR="006173C9" w:rsidRPr="00D14B7A" w:rsidRDefault="006173C9" w:rsidP="00395642">
      <w:pPr>
        <w:pStyle w:val="BODY0"/>
      </w:pPr>
    </w:p>
    <w:sectPr w:rsidR="006173C9" w:rsidRPr="00D14B7A" w:rsidSect="00FC6091">
      <w:headerReference w:type="even" r:id="rId22"/>
      <w:headerReference w:type="default" r:id="rId23"/>
      <w:footerReference w:type="even" r:id="rId24"/>
      <w:footerReference w:type="default" r:id="rId25"/>
      <w:headerReference w:type="first" r:id="rId26"/>
      <w:footerReference w:type="first" r:id="rId27"/>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57EA9" w14:textId="77777777" w:rsidR="00F633D0" w:rsidRPr="00FE73CA" w:rsidRDefault="00F633D0" w:rsidP="00FA44F9">
      <w:r w:rsidRPr="00FE73CA">
        <w:separator/>
      </w:r>
    </w:p>
  </w:endnote>
  <w:endnote w:type="continuationSeparator" w:id="0">
    <w:p w14:paraId="39E6E38C" w14:textId="77777777" w:rsidR="00F633D0" w:rsidRPr="00FE73CA" w:rsidRDefault="00F633D0" w:rsidP="00FA44F9">
      <w:r w:rsidRPr="00FE73CA">
        <w:continuationSeparator/>
      </w:r>
    </w:p>
  </w:endnote>
  <w:endnote w:type="continuationNotice" w:id="1">
    <w:p w14:paraId="44DA22EC" w14:textId="77777777" w:rsidR="00F633D0" w:rsidRDefault="00F633D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default"/>
    <w:sig w:usb0="00000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Courier New"/>
    <w:charset w:val="00"/>
    <w:family w:val="modern"/>
    <w:pitch w:val="default"/>
    <w:sig w:usb0="00000000" w:usb1="00000000" w:usb2="00000000" w:usb3="00000000" w:csb0="00000001" w:csb1="00000000"/>
  </w:font>
  <w:font w:name="XB Kayhan">
    <w:altName w:val="Times New Roman"/>
    <w:charset w:val="00"/>
    <w:family w:val="auto"/>
    <w:pitch w:val="default"/>
    <w:sig w:usb0="00000000" w:usb1="0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panose1 w:val="02020803070505020304"/>
    <w:charset w:val="00"/>
    <w:family w:val="roman"/>
    <w:pitch w:val="default"/>
  </w:font>
  <w:font w:name="2  Mitra">
    <w:charset w:val="B2"/>
    <w:family w:val="auto"/>
    <w:pitch w:val="default"/>
    <w:sig w:usb0="00000000" w:usb1="0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default"/>
    <w:sig w:usb0="00000000" w:usb1="00000000" w:usb2="00000000" w:usb3="00000000" w:csb0="00000040" w:csb1="00000000"/>
  </w:font>
  <w:font w:name="Lotus">
    <w:charset w:val="B2"/>
    <w:family w:val="auto"/>
    <w:pitch w:val="default"/>
    <w:sig w:usb0="00000000" w:usb1="0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default"/>
    <w:sig w:usb0="00000000"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default"/>
    <w:sig w:usb0="00000000"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charset w:val="00"/>
    <w:family w:val="roman"/>
    <w:pitch w:val="default"/>
    <w:sig w:usb0="00000000" w:usb1="00000000" w:usb2="00000000" w:usb3="00000000" w:csb0="00000093" w:csb1="00000000"/>
  </w:font>
  <w:font w:name="Perpetua">
    <w:charset w:val="00"/>
    <w:family w:val="roman"/>
    <w:pitch w:val="variable"/>
    <w:sig w:usb0="00000003" w:usb1="00000000" w:usb2="00000000" w:usb3="00000000" w:csb0="00000001" w:csb1="00000000"/>
  </w:font>
  <w:font w:name="Eras Bold ITC">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charset w:val="B2"/>
    <w:family w:val="auto"/>
    <w:pitch w:val="default"/>
    <w:sig w:usb0="00000000" w:usb1="00000000" w:usb2="00000000" w:usb3="00000000" w:csb0="00000040" w:csb1="00000000"/>
  </w:font>
  <w:font w:name="Adobe Devanagari">
    <w:altName w:val="Kokila"/>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charset w:val="00"/>
    <w:family w:val="roman"/>
    <w:pitch w:val="default"/>
    <w:sig w:usb0="00000000"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xml:space="preserve">. </w:t>
    </w:r>
    <w:proofErr w:type="gramStart"/>
    <w:r w:rsidR="000E04F6" w:rsidRPr="00E531BF">
      <w:rPr>
        <w:rFonts w:ascii="Palatino Linotype" w:hAnsi="Palatino Linotype"/>
        <w:sz w:val="16"/>
        <w:szCs w:val="16"/>
      </w:rPr>
      <w:t>This  article</w:t>
    </w:r>
    <w:proofErr w:type="gramEnd"/>
    <w:r w:rsidR="000E04F6" w:rsidRPr="00E531BF">
      <w:rPr>
        <w:rFonts w:ascii="Palatino Linotype" w:hAnsi="Palatino Linotype"/>
        <w:sz w:val="16"/>
        <w:szCs w:val="16"/>
      </w:rPr>
      <w:t xml:space="preserv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E5541" w14:textId="77777777" w:rsidR="00F633D0" w:rsidRPr="00FE73CA" w:rsidRDefault="00F633D0" w:rsidP="00FA44F9">
      <w:pPr>
        <w:bidi w:val="0"/>
      </w:pPr>
      <w:r w:rsidRPr="00FE73CA">
        <w:separator/>
      </w:r>
    </w:p>
  </w:footnote>
  <w:footnote w:type="continuationSeparator" w:id="0">
    <w:p w14:paraId="3F48DA69" w14:textId="77777777" w:rsidR="00F633D0" w:rsidRPr="00FE73CA" w:rsidRDefault="00F633D0" w:rsidP="00FA44F9">
      <w:r w:rsidRPr="00FE73CA">
        <w:continuationSeparator/>
      </w:r>
    </w:p>
  </w:footnote>
  <w:footnote w:type="continuationNotice" w:id="1">
    <w:p w14:paraId="5192E352" w14:textId="77777777" w:rsidR="00F633D0" w:rsidRPr="00FE73CA" w:rsidRDefault="00F633D0"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tl/>
      </w:rPr>
      <w:id w:val="-1200926988"/>
      <w:docPartObj>
        <w:docPartGallery w:val="Page Numbers (Top of Page)"/>
        <w:docPartUnique/>
      </w:docPartObj>
    </w:sdtPr>
    <w:sdtEndPr>
      <w:rPr>
        <w:rStyle w:val="PageNumber"/>
      </w:rPr>
    </w:sdtEndPr>
    <w:sdtContent>
      <w:p w14:paraId="30B67E5E" w14:textId="40610992"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00B33612">
          <w:rPr>
            <w:rStyle w:val="PageNumber"/>
            <w:rFonts w:ascii="Garamond" w:hAnsi="Garamond" w:cstheme="majorBidi"/>
            <w:b/>
            <w:bCs/>
            <w:noProof/>
            <w:sz w:val="18"/>
            <w:szCs w:val="18"/>
            <w:rtl/>
          </w:rPr>
          <w:t>4</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F633D0"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End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085369241"/>
      <w:docPartObj>
        <w:docPartGallery w:val="Page Numbers (Top of Page)"/>
        <w:docPartUnique/>
      </w:docPartObj>
    </w:sdtPr>
    <w:sdtEndPr/>
    <w:sdtContent>
      <w:p w14:paraId="34E26AB8" w14:textId="53DF4304"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00B33612">
          <w:rPr>
            <w:rFonts w:ascii="Garamond" w:hAnsi="Garamond" w:cstheme="majorBidi"/>
            <w:b/>
            <w:bCs/>
            <w:noProof/>
            <w:sz w:val="18"/>
            <w:szCs w:val="18"/>
            <w:rtl/>
          </w:rPr>
          <w:t>3</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10BFCD11" w:rsidR="00690F51" w:rsidRPr="00690F51" w:rsidRDefault="00F633D0" w:rsidP="00690F51">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EndPr/>
      <w:sdtContent/>
    </w:sdt>
    <w:r w:rsidR="00690F51" w:rsidRPr="00690F51">
      <w:rPr>
        <w:rFonts w:ascii="Times New Roman" w:eastAsia="Times New Roman" w:hAnsi="Times New Roman" w:cs="Times New Roman"/>
        <w:i/>
        <w:sz w:val="16"/>
        <w:szCs w:val="16"/>
      </w:rPr>
      <w:t xml:space="preserve"> </w:t>
    </w:r>
    <w:r w:rsidR="00C46E79">
      <w:rPr>
        <w:rFonts w:ascii="Garamond" w:eastAsia="Times New Roman" w:hAnsi="Garamond" w:cs="Times New Roman"/>
        <w:b/>
        <w:bCs/>
        <w:color w:val="767171" w:themeColor="background2" w:themeShade="80"/>
        <w:sz w:val="18"/>
        <w:szCs w:val="18"/>
      </w:rPr>
      <w:t xml:space="preserve">Author's </w:t>
    </w:r>
    <w:proofErr w:type="spellStart"/>
    <w:r w:rsidR="00C46E79">
      <w:rPr>
        <w:rFonts w:ascii="Garamond" w:eastAsia="Times New Roman" w:hAnsi="Garamond" w:cs="Times New Roman"/>
        <w:b/>
        <w:bCs/>
        <w:color w:val="767171" w:themeColor="background2" w:themeShade="80"/>
        <w:sz w:val="18"/>
        <w:szCs w:val="18"/>
      </w:rPr>
      <w:t>LastName</w:t>
    </w:r>
    <w:proofErr w:type="spellEnd"/>
    <w:r w:rsidR="00C46E79">
      <w:rPr>
        <w:rFonts w:ascii="Garamond" w:eastAsia="Times New Roman" w:hAnsi="Garamond" w:cs="Times New Roman"/>
        <w:b/>
        <w:bCs/>
        <w:color w:val="767171" w:themeColor="background2" w:themeShade="80"/>
        <w:sz w:val="18"/>
        <w:szCs w:val="18"/>
      </w:rPr>
      <w:t>|</w:t>
    </w:r>
    <w:r w:rsidR="00BC595C" w:rsidRPr="00BC595C">
      <w:t xml:space="preserve"> </w:t>
    </w:r>
    <w:proofErr w:type="spellStart"/>
    <w:r w:rsidR="00BC595C" w:rsidRPr="00BC595C">
      <w:rPr>
        <w:rFonts w:ascii="Garamond" w:eastAsia="Times New Roman" w:hAnsi="Garamond" w:cs="Times New Roman"/>
        <w:b/>
        <w:bCs/>
        <w:color w:val="767171" w:themeColor="background2" w:themeShade="80"/>
        <w:sz w:val="18"/>
        <w:szCs w:val="18"/>
      </w:rPr>
      <w:t>Intell</w:t>
    </w:r>
    <w:proofErr w:type="spellEnd"/>
    <w:r w:rsidR="00BC595C" w:rsidRPr="00BC595C">
      <w:rPr>
        <w:rFonts w:ascii="Garamond" w:eastAsia="Times New Roman" w:hAnsi="Garamond" w:cs="Times New Roman"/>
        <w:b/>
        <w:bCs/>
        <w:color w:val="767171" w:themeColor="background2" w:themeShade="80"/>
        <w:sz w:val="18"/>
        <w:szCs w:val="18"/>
      </w:rPr>
      <w:t xml:space="preserve">. Model. </w:t>
    </w:r>
    <w:proofErr w:type="spellStart"/>
    <w:r w:rsidR="00BC595C" w:rsidRPr="00BC595C">
      <w:rPr>
        <w:rFonts w:ascii="Garamond" w:eastAsia="Times New Roman" w:hAnsi="Garamond" w:cs="Times New Roman"/>
        <w:b/>
        <w:bCs/>
        <w:color w:val="767171" w:themeColor="background2" w:themeShade="80"/>
        <w:sz w:val="18"/>
        <w:szCs w:val="18"/>
      </w:rPr>
      <w:t>Electromech</w:t>
    </w:r>
    <w:proofErr w:type="spellEnd"/>
    <w:r w:rsidR="00BC595C" w:rsidRPr="00BC595C">
      <w:rPr>
        <w:rFonts w:ascii="Garamond" w:eastAsia="Times New Roman" w:hAnsi="Garamond" w:cs="Times New Roman"/>
        <w:b/>
        <w:bCs/>
        <w:color w:val="767171" w:themeColor="background2" w:themeShade="80"/>
        <w:sz w:val="18"/>
        <w:szCs w:val="18"/>
      </w:rPr>
      <w:t>. Syst</w:t>
    </w:r>
    <w:r w:rsidR="00C46E79">
      <w:rPr>
        <w:rFonts w:ascii="Garamond" w:eastAsia="Times New Roman" w:hAnsi="Garamond" w:cs="Times New Roman"/>
        <w:b/>
        <w:bCs/>
        <w:color w:val="767171" w:themeColor="background2" w:themeShade="80"/>
        <w:sz w:val="18"/>
        <w:szCs w:val="18"/>
      </w:rPr>
      <w:t>.</w:t>
    </w:r>
    <w:r w:rsidR="00690F51" w:rsidRPr="00690F51">
      <w:rPr>
        <w:rFonts w:ascii="Garamond" w:eastAsia="Times New Roman" w:hAnsi="Garamond" w:cs="Times New Roman"/>
        <w:b/>
        <w:bCs/>
        <w:color w:val="767171" w:themeColor="background2" w:themeShade="80"/>
        <w:sz w:val="18"/>
        <w:szCs w:val="18"/>
      </w:rPr>
      <w:t xml:space="preserve"> X(x) (xx) 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F9CE8" w14:textId="77777777" w:rsidR="00BC595C" w:rsidRDefault="00BC5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72E5BE2"/>
    <w:lvl w:ilvl="0" w:tplc="76785760">
      <w:start w:val="1"/>
      <w:numFmt w:val="decimal"/>
      <w:pStyle w:val="Referen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0"/>
  </w:num>
  <w:num w:numId="4">
    <w:abstractNumId w:val="5"/>
  </w:num>
  <w:num w:numId="5">
    <w:abstractNumId w:val="6"/>
  </w:num>
  <w:num w:numId="6">
    <w:abstractNumId w:val="15"/>
  </w:num>
  <w:num w:numId="7">
    <w:abstractNumId w:val="18"/>
  </w:num>
  <w:num w:numId="8">
    <w:abstractNumId w:val="17"/>
  </w:num>
  <w:num w:numId="9">
    <w:abstractNumId w:val="9"/>
  </w:num>
  <w:num w:numId="10">
    <w:abstractNumId w:val="2"/>
  </w:num>
  <w:num w:numId="11">
    <w:abstractNumId w:val="1"/>
  </w:num>
  <w:num w:numId="12">
    <w:abstractNumId w:val="3"/>
  </w:num>
  <w:num w:numId="13">
    <w:abstractNumId w:val="8"/>
  </w:num>
  <w:num w:numId="14">
    <w:abstractNumId w:val="16"/>
  </w:num>
  <w:num w:numId="15">
    <w:abstractNumId w:val="4"/>
  </w:num>
  <w:num w:numId="16">
    <w:abstractNumId w:val="7"/>
  </w:num>
  <w:num w:numId="17">
    <w:abstractNumId w:val="14"/>
  </w:num>
  <w:num w:numId="18">
    <w:abstractNumId w:val="1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2218"/>
    <w:rsid w:val="000859BB"/>
    <w:rsid w:val="00085D56"/>
    <w:rsid w:val="00086ABE"/>
    <w:rsid w:val="00087071"/>
    <w:rsid w:val="00087B2D"/>
    <w:rsid w:val="00093CB8"/>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368B"/>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82445"/>
    <w:rsid w:val="00284419"/>
    <w:rsid w:val="00285BD3"/>
    <w:rsid w:val="00286103"/>
    <w:rsid w:val="00286F12"/>
    <w:rsid w:val="00292A9A"/>
    <w:rsid w:val="00294B70"/>
    <w:rsid w:val="002A4E11"/>
    <w:rsid w:val="002A5D52"/>
    <w:rsid w:val="002B0791"/>
    <w:rsid w:val="002B2846"/>
    <w:rsid w:val="002B4A70"/>
    <w:rsid w:val="002B5067"/>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0F3D"/>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245C"/>
    <w:rsid w:val="00442CE6"/>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06CA"/>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D7FB5"/>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3D85"/>
    <w:rsid w:val="006D6661"/>
    <w:rsid w:val="006D6870"/>
    <w:rsid w:val="006E0733"/>
    <w:rsid w:val="006E3238"/>
    <w:rsid w:val="006E58E8"/>
    <w:rsid w:val="006F014A"/>
    <w:rsid w:val="006F01F8"/>
    <w:rsid w:val="006F142B"/>
    <w:rsid w:val="006F64AA"/>
    <w:rsid w:val="006F714D"/>
    <w:rsid w:val="006F761C"/>
    <w:rsid w:val="006F7E6C"/>
    <w:rsid w:val="006F7FC0"/>
    <w:rsid w:val="007018B7"/>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4805"/>
    <w:rsid w:val="0078600F"/>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C2B"/>
    <w:rsid w:val="007B40B4"/>
    <w:rsid w:val="007B54DB"/>
    <w:rsid w:val="007B56F7"/>
    <w:rsid w:val="007B74CC"/>
    <w:rsid w:val="007B7D75"/>
    <w:rsid w:val="007C33A0"/>
    <w:rsid w:val="007C5583"/>
    <w:rsid w:val="007C6C1D"/>
    <w:rsid w:val="007D2FB6"/>
    <w:rsid w:val="007D4977"/>
    <w:rsid w:val="007D79F2"/>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77D5"/>
    <w:rsid w:val="008A79D2"/>
    <w:rsid w:val="008A7D81"/>
    <w:rsid w:val="008B033E"/>
    <w:rsid w:val="008B1F02"/>
    <w:rsid w:val="008B303E"/>
    <w:rsid w:val="008B40A1"/>
    <w:rsid w:val="008B441B"/>
    <w:rsid w:val="008B67D7"/>
    <w:rsid w:val="008C15AE"/>
    <w:rsid w:val="008C3478"/>
    <w:rsid w:val="008C49A1"/>
    <w:rsid w:val="008C4BDE"/>
    <w:rsid w:val="008C7916"/>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3612"/>
    <w:rsid w:val="00B355C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585D"/>
    <w:rsid w:val="00BB5097"/>
    <w:rsid w:val="00BB7440"/>
    <w:rsid w:val="00BC0492"/>
    <w:rsid w:val="00BC595C"/>
    <w:rsid w:val="00BC7296"/>
    <w:rsid w:val="00BD529F"/>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9B3"/>
    <w:rsid w:val="00C12BE7"/>
    <w:rsid w:val="00C1356F"/>
    <w:rsid w:val="00C138AE"/>
    <w:rsid w:val="00C15C2C"/>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46E79"/>
    <w:rsid w:val="00C5050D"/>
    <w:rsid w:val="00C50A46"/>
    <w:rsid w:val="00C548E0"/>
    <w:rsid w:val="00C557A5"/>
    <w:rsid w:val="00C61348"/>
    <w:rsid w:val="00C62754"/>
    <w:rsid w:val="00C62E99"/>
    <w:rsid w:val="00C63589"/>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44D7"/>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E6C1D"/>
    <w:rsid w:val="00CF12E9"/>
    <w:rsid w:val="00CF1DA7"/>
    <w:rsid w:val="00CF3BE2"/>
    <w:rsid w:val="00CF5CBF"/>
    <w:rsid w:val="00CF7CBD"/>
    <w:rsid w:val="00D02805"/>
    <w:rsid w:val="00D032B7"/>
    <w:rsid w:val="00D046B3"/>
    <w:rsid w:val="00D04D64"/>
    <w:rsid w:val="00D05C30"/>
    <w:rsid w:val="00D07525"/>
    <w:rsid w:val="00D10748"/>
    <w:rsid w:val="00D14B7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66"/>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C8C"/>
    <w:rsid w:val="00E935C7"/>
    <w:rsid w:val="00E93876"/>
    <w:rsid w:val="00E93CFC"/>
    <w:rsid w:val="00E93E44"/>
    <w:rsid w:val="00E95D32"/>
    <w:rsid w:val="00EA13A0"/>
    <w:rsid w:val="00EA159A"/>
    <w:rsid w:val="00EA199B"/>
    <w:rsid w:val="00EA365F"/>
    <w:rsid w:val="00EA428B"/>
    <w:rsid w:val="00EA5270"/>
    <w:rsid w:val="00EA5455"/>
    <w:rsid w:val="00EB24A2"/>
    <w:rsid w:val="00EB3090"/>
    <w:rsid w:val="00EC0F12"/>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61CD"/>
    <w:rsid w:val="00F20B5E"/>
    <w:rsid w:val="00F2181B"/>
    <w:rsid w:val="00F221BC"/>
    <w:rsid w:val="00F313FC"/>
    <w:rsid w:val="00F33B62"/>
    <w:rsid w:val="00F35C9A"/>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33D0"/>
    <w:rsid w:val="00F661A9"/>
    <w:rsid w:val="00F66266"/>
    <w:rsid w:val="00F738EB"/>
    <w:rsid w:val="00F7412A"/>
    <w:rsid w:val="00F7492E"/>
    <w:rsid w:val="00F750F5"/>
    <w:rsid w:val="00F754CE"/>
    <w:rsid w:val="00F763F8"/>
    <w:rsid w:val="00F835E7"/>
    <w:rsid w:val="00F85582"/>
    <w:rsid w:val="00F86423"/>
    <w:rsid w:val="00F93781"/>
    <w:rsid w:val="00F96DFB"/>
    <w:rsid w:val="00FA0AEC"/>
    <w:rsid w:val="00FA165C"/>
    <w:rsid w:val="00FA2BCF"/>
    <w:rsid w:val="00FA3779"/>
    <w:rsid w:val="00FA44F9"/>
    <w:rsid w:val="00FB1879"/>
    <w:rsid w:val="00FB3D6F"/>
    <w:rsid w:val="00FC008A"/>
    <w:rsid w:val="00FC1F0A"/>
    <w:rsid w:val="00FC27AB"/>
    <w:rsid w:val="00FC302B"/>
    <w:rsid w:val="00FC49F9"/>
    <w:rsid w:val="00FC6091"/>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qFormat/>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qFormat/>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D05C30"/>
    <w:pPr>
      <w:bidi w:val="0"/>
      <w:spacing w:before="0" w:beforeAutospacing="0" w:after="120" w:afterAutospacing="0"/>
      <w:ind w:left="862" w:hanging="862"/>
      <w:jc w:val="center"/>
    </w:pPr>
    <w:rPr>
      <w:rFonts w:ascii="Garamond" w:hAnsi="Garamond"/>
      <w:b/>
      <w:i w:val="0"/>
      <w:iCs w:val="0"/>
      <w:color w:val="835C3B"/>
      <w:sz w:val="20"/>
      <w:szCs w:val="16"/>
      <w:lang w:bidi="fa-IR"/>
    </w:rPr>
  </w:style>
  <w:style w:type="character" w:customStyle="1" w:styleId="FigureChar">
    <w:name w:val="Figure Char"/>
    <w:basedOn w:val="Char6"/>
    <w:link w:val="Figure"/>
    <w:rsid w:val="00D05C30"/>
    <w:rPr>
      <w:rFonts w:ascii="Garamond" w:eastAsiaTheme="majorEastAsia" w:hAnsi="Garamond" w:cstheme="majorBidi"/>
      <w:b/>
      <w:bCs w:val="0"/>
      <w:color w:val="835C3B"/>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4A5A5D"/>
    <w:pPr>
      <w:bidi w:val="0"/>
      <w:spacing w:before="120" w:beforeAutospacing="0" w:after="160" w:afterAutospacing="0"/>
      <w:ind w:left="425" w:right="0"/>
      <w:jc w:val="left"/>
    </w:pPr>
    <w:rPr>
      <w:rFonts w:ascii="Garamond" w:hAnsi="Garamond"/>
      <w:b/>
      <w:color w:val="835C3B"/>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4A5A5D"/>
    <w:rPr>
      <w:rFonts w:ascii="Garamond" w:eastAsia="Times New Roman" w:hAnsi="Garamond" w:cs="Times New Roman"/>
      <w:b/>
      <w:color w:val="835C3B"/>
      <w:sz w:val="32"/>
      <w:szCs w:val="36"/>
    </w:rPr>
  </w:style>
  <w:style w:type="paragraph" w:customStyle="1" w:styleId="HEADING20">
    <w:name w:val="HEADING2"/>
    <w:basedOn w:val="Heading2"/>
    <w:link w:val="HEADING2Char0"/>
    <w:qFormat/>
    <w:rsid w:val="00426704"/>
    <w:pPr>
      <w:bidi w:val="0"/>
      <w:spacing w:before="120" w:beforeAutospacing="0" w:after="160" w:afterAutospacing="0"/>
      <w:ind w:left="284" w:right="0"/>
    </w:pPr>
    <w:rPr>
      <w:rFonts w:ascii="Garamond" w:hAnsi="Garamond"/>
      <w:color w:val="835C3B"/>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426704"/>
    <w:rPr>
      <w:rFonts w:ascii="Garamond" w:eastAsia="Times New Roman" w:hAnsi="Garamond" w:cs="Times New Roman"/>
      <w:b/>
      <w:bCs/>
      <w:color w:val="835C3B"/>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customStyle="1" w:styleId="UnresolvedMention">
    <w:name w:val="Unresolved Mention"/>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sl.mendeley.com/styles/699351941/REA"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rive.google.com/file/d/10QZBS_E66Z4UTNdP5GhoR5dfsaGe2Jvw/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uurtjew-arbqOY2Gz9phWYqzR_ssl7F1/view?usp=sharing" TargetMode="External"/><Relationship Id="rId20" Type="http://schemas.openxmlformats.org/officeDocument/2006/relationships/hyperlink" Target="https://doi.org/10.1007/978-3-319-76810-6_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8RGWXRr_r2tx6CpUg9c6uV0-S1X9Iu4X/view?usp=sharing"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CDDA7B9B-2CAD-458A-A5DA-0407463F7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RePack by Diakov</cp:lastModifiedBy>
  <cp:revision>2</cp:revision>
  <cp:lastPrinted>2024-04-24T06:47:00Z</cp:lastPrinted>
  <dcterms:created xsi:type="dcterms:W3CDTF">2025-08-16T10:31:00Z</dcterms:created>
  <dcterms:modified xsi:type="dcterms:W3CDTF">2025-08-16T10:31:00Z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